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464B" w:rsidRDefault="008A01F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Modèle de délibération portant création d’un poste permanent </w:t>
      </w:r>
    </w:p>
    <w:p w14:paraId="00000002" w14:textId="77777777" w:rsidR="00AF464B" w:rsidRDefault="008A0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– Emploi permanent quel que soit le temps de travail – </w:t>
      </w:r>
    </w:p>
    <w:p w14:paraId="00000003" w14:textId="77777777" w:rsidR="00AF464B" w:rsidRDefault="008A0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Communes de moins de 1 000 habitants ou groupements de communes </w:t>
      </w:r>
      <w:r>
        <w:rPr>
          <w:rFonts w:ascii="Arial" w:eastAsia="Arial" w:hAnsi="Arial" w:cs="Arial"/>
          <w:i/>
          <w:color w:val="000000"/>
          <w:sz w:val="20"/>
          <w:szCs w:val="20"/>
        </w:rPr>
        <w:br/>
        <w:t>de moins de 15 000 habitants</w:t>
      </w:r>
    </w:p>
    <w:p w14:paraId="00000004" w14:textId="657C720F" w:rsidR="00AF464B" w:rsidRDefault="008A01F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(CGFP – art. L332-8 3°)</w:t>
      </w:r>
    </w:p>
    <w:p w14:paraId="0000000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0000006" w14:textId="77777777" w:rsidR="00AF464B" w:rsidRDefault="008A01F2" w:rsidP="00145EAC">
      <w:pPr>
        <w:shd w:val="clear" w:color="auto" w:fill="D9D9D9"/>
        <w:ind w:leftChars="0" w:left="2" w:firstLineChars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Rappel </w:t>
      </w:r>
    </w:p>
    <w:p w14:paraId="00000007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prendra effet au plus tôt après transmission au contrôle de légalité.</w:t>
      </w:r>
    </w:p>
    <w:p w14:paraId="00000008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ne peut pas être rétroactive et, par conséquent, antérieure à la nomination.</w:t>
      </w:r>
    </w:p>
    <w:p w14:paraId="00000009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doit être non nominative.</w:t>
      </w:r>
    </w:p>
    <w:p w14:paraId="0000000A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création d’emploi permanent doit faire l’objet d’une déclaration d’emploi précédemment à la nomination (hormis pour les avancements de grade).</w:t>
      </w:r>
    </w:p>
    <w:p w14:paraId="0000000B" w14:textId="77777777" w:rsidR="00AF464B" w:rsidRDefault="00AF464B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B639386" w14:textId="0AA72AE6" w:rsidR="008A01F2" w:rsidRDefault="008A01F2" w:rsidP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code général de la fonction publique</w:t>
      </w:r>
      <w:r w:rsidR="00F34E21">
        <w:rPr>
          <w:rFonts w:ascii="Arial" w:hAnsi="Arial" w:cs="Arial"/>
          <w:sz w:val="20"/>
          <w:szCs w:val="20"/>
        </w:rPr>
        <w:t xml:space="preserve">, notamment son article L332-8 </w:t>
      </w:r>
      <w:r w:rsidR="00F34E21">
        <w:rPr>
          <w:rFonts w:ascii="Arial" w:hAnsi="Arial" w:cs="Arial"/>
          <w:sz w:val="20"/>
          <w:szCs w:val="20"/>
        </w:rPr>
        <w:t>3</w:t>
      </w:r>
      <w:r w:rsidR="00F34E21">
        <w:rPr>
          <w:rFonts w:ascii="Arial" w:hAnsi="Arial" w:cs="Arial"/>
          <w:sz w:val="20"/>
          <w:szCs w:val="20"/>
        </w:rPr>
        <w:t>°</w:t>
      </w:r>
      <w:r>
        <w:rPr>
          <w:rFonts w:ascii="Arial" w:eastAsia="Arial" w:hAnsi="Arial" w:cs="Arial"/>
          <w:sz w:val="20"/>
          <w:szCs w:val="20"/>
        </w:rPr>
        <w:t> ;</w:t>
      </w:r>
    </w:p>
    <w:p w14:paraId="4C8DC402" w14:textId="77777777" w:rsidR="008A01F2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C" w14:textId="7230933F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code général des collectivités territoriales ;</w:t>
      </w:r>
    </w:p>
    <w:p w14:paraId="0000000D" w14:textId="77777777" w:rsidR="00AF464B" w:rsidRDefault="00AF464B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ACE8527" w:rsidR="00AF464B" w:rsidRDefault="008A01F2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ab/>
        <w:t>le décret n°88-145 du 15 février 1988 portant dispositions statutaires relative à la fonction publique territoriale et relatif aux agents contractuels de la fonction publique territoriale ;</w:t>
      </w:r>
    </w:p>
    <w:p w14:paraId="00000013" w14:textId="77777777" w:rsidR="00AF464B" w:rsidRDefault="00AF464B" w:rsidP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4" w14:textId="5FD72446" w:rsidR="00AF464B" w:rsidRDefault="008A01F2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ab/>
        <w:t>le décret n°91-298 du 20 mars 1991 portant dispositions statutaires applicables aux fonctionnaires territoriaux nommés dans des emplois permanents à temps non complet, le cas échéant ;</w:t>
      </w:r>
    </w:p>
    <w:p w14:paraId="00000015" w14:textId="77777777" w:rsidR="00AF464B" w:rsidRDefault="00AF464B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</w:p>
    <w:p w14:paraId="00000016" w14:textId="77777777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budget de la collectivité (</w:t>
      </w:r>
      <w:r>
        <w:rPr>
          <w:rFonts w:ascii="Arial" w:eastAsia="Arial" w:hAnsi="Arial" w:cs="Arial"/>
          <w:i/>
          <w:sz w:val="20"/>
          <w:szCs w:val="20"/>
        </w:rPr>
        <w:t>ou du syndicat ou de l’EPCI</w:t>
      </w:r>
      <w:r>
        <w:rPr>
          <w:rFonts w:ascii="Arial" w:eastAsia="Arial" w:hAnsi="Arial" w:cs="Arial"/>
          <w:sz w:val="20"/>
          <w:szCs w:val="20"/>
        </w:rPr>
        <w:t>) ;</w:t>
      </w:r>
    </w:p>
    <w:p w14:paraId="00000017" w14:textId="77777777" w:rsidR="00AF464B" w:rsidRDefault="00AF464B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8" w14:textId="77777777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tableau actuel des effectifs de la collectivité (</w:t>
      </w:r>
      <w:r>
        <w:rPr>
          <w:rFonts w:ascii="Arial" w:eastAsia="Arial" w:hAnsi="Arial" w:cs="Arial"/>
          <w:i/>
          <w:sz w:val="20"/>
          <w:szCs w:val="20"/>
        </w:rPr>
        <w:t>ou du syndicat ou de l’EPCI</w:t>
      </w:r>
      <w:r>
        <w:rPr>
          <w:rFonts w:ascii="Arial" w:eastAsia="Arial" w:hAnsi="Arial" w:cs="Arial"/>
          <w:sz w:val="20"/>
          <w:szCs w:val="20"/>
        </w:rPr>
        <w:t>) ;</w:t>
      </w:r>
    </w:p>
    <w:p w14:paraId="00000019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2" w:name="_heading=h.1fob9te" w:colFirst="0" w:colLast="0"/>
      <w:bookmarkEnd w:id="2"/>
    </w:p>
    <w:p w14:paraId="0000001A" w14:textId="77777777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CONSIDÉRANT que (</w:t>
      </w:r>
      <w:r>
        <w:rPr>
          <w:rFonts w:ascii="Arial" w:eastAsia="Arial" w:hAnsi="Arial" w:cs="Arial"/>
          <w:b/>
          <w:i/>
          <w:sz w:val="20"/>
          <w:szCs w:val="20"/>
        </w:rPr>
        <w:t>dénomination exacte</w:t>
      </w:r>
      <w:r>
        <w:rPr>
          <w:rFonts w:ascii="Arial" w:eastAsia="Arial" w:hAnsi="Arial" w:cs="Arial"/>
          <w:sz w:val="20"/>
          <w:szCs w:val="20"/>
        </w:rPr>
        <w:t xml:space="preserve">) est une Commune de moins de </w:t>
      </w:r>
      <w:r>
        <w:rPr>
          <w:rFonts w:ascii="Arial" w:eastAsia="Arial" w:hAnsi="Arial" w:cs="Arial"/>
          <w:sz w:val="20"/>
          <w:szCs w:val="20"/>
        </w:rPr>
        <w:br/>
        <w:t>1 000 habitants,</w:t>
      </w:r>
    </w:p>
    <w:p w14:paraId="0000001B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C" w14:textId="77777777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OU</w:t>
      </w:r>
      <w:proofErr w:type="gramEnd"/>
    </w:p>
    <w:p w14:paraId="0000001D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CONSIDÉRANT que (</w:t>
      </w:r>
      <w:r>
        <w:rPr>
          <w:rFonts w:ascii="Arial" w:eastAsia="Arial" w:hAnsi="Arial" w:cs="Arial"/>
          <w:b/>
          <w:i/>
          <w:sz w:val="20"/>
          <w:szCs w:val="20"/>
        </w:rPr>
        <w:t>dénomination exacte</w:t>
      </w:r>
      <w:r>
        <w:rPr>
          <w:rFonts w:ascii="Arial" w:eastAsia="Arial" w:hAnsi="Arial" w:cs="Arial"/>
          <w:sz w:val="20"/>
          <w:szCs w:val="20"/>
        </w:rPr>
        <w:t xml:space="preserve">) est un groupement de communes de moins de </w:t>
      </w:r>
      <w:r>
        <w:rPr>
          <w:rFonts w:ascii="Arial" w:eastAsia="Arial" w:hAnsi="Arial" w:cs="Arial"/>
          <w:sz w:val="20"/>
          <w:szCs w:val="20"/>
        </w:rPr>
        <w:br/>
        <w:t>15 000 habitants,</w:t>
      </w:r>
    </w:p>
    <w:p w14:paraId="0000001F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0" w14:textId="77777777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0"/>
          <w:szCs w:val="20"/>
        </w:rPr>
        <w:t>CONSIDÉRANT la nécessité de créer un emploi permanent au grade de (</w:t>
      </w:r>
      <w:r>
        <w:rPr>
          <w:rFonts w:ascii="Arial" w:eastAsia="Arial" w:hAnsi="Arial" w:cs="Arial"/>
          <w:b/>
          <w:i/>
          <w:sz w:val="20"/>
          <w:szCs w:val="20"/>
        </w:rPr>
        <w:t>grade</w:t>
      </w:r>
      <w:r>
        <w:rPr>
          <w:rFonts w:ascii="Arial" w:eastAsia="Arial" w:hAnsi="Arial" w:cs="Arial"/>
          <w:sz w:val="20"/>
          <w:szCs w:val="20"/>
        </w:rPr>
        <w:t xml:space="preserve">) à temps complet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temps non complet à hauteur de …h… minutes hebdomadaires, relevant de la catégorie hiérarchique … (</w:t>
      </w:r>
      <w:r>
        <w:rPr>
          <w:rFonts w:ascii="Arial" w:eastAsia="Arial" w:hAnsi="Arial" w:cs="Arial"/>
          <w:b/>
          <w:i/>
          <w:sz w:val="20"/>
          <w:szCs w:val="20"/>
        </w:rPr>
        <w:t>A, B, C</w:t>
      </w:r>
      <w:r>
        <w:rPr>
          <w:rFonts w:ascii="Arial" w:eastAsia="Arial" w:hAnsi="Arial" w:cs="Arial"/>
          <w:sz w:val="20"/>
          <w:szCs w:val="20"/>
        </w:rPr>
        <w:t>), afin d'assurer les fonctions suivantes : (</w:t>
      </w:r>
      <w:r>
        <w:rPr>
          <w:rFonts w:ascii="Arial" w:eastAsia="Arial" w:hAnsi="Arial" w:cs="Arial"/>
          <w:b/>
          <w:i/>
          <w:sz w:val="20"/>
          <w:szCs w:val="20"/>
        </w:rPr>
        <w:t>à préciser</w:t>
      </w:r>
      <w:r>
        <w:rPr>
          <w:rFonts w:ascii="Arial" w:eastAsia="Arial" w:hAnsi="Arial" w:cs="Arial"/>
          <w:sz w:val="20"/>
          <w:szCs w:val="20"/>
        </w:rPr>
        <w:t>),</w:t>
      </w:r>
    </w:p>
    <w:p w14:paraId="00000021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2" w14:textId="6BB333CF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CONSIDÉRANT que si l’emploi concerné n’est pas pourvu par un fonctionnaire, il peut être occupé par un agent contractuel en application de l’article L332-8 3° du code général de la fonction publique précité qui autorise le recrutement d’un agent contractuel, quel que soit le temps de travail, pour les communes de moins de 1 000 habitants et les groupements de communes de moins de 15 000 habitants,</w:t>
      </w:r>
    </w:p>
    <w:p w14:paraId="00000023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4" w:name="_heading=h.2et92p0" w:colFirst="0" w:colLast="0"/>
      <w:bookmarkEnd w:id="4"/>
    </w:p>
    <w:p w14:paraId="00000024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Après en avoir délibéré, (</w:t>
      </w:r>
      <w:r>
        <w:rPr>
          <w:rFonts w:ascii="Arial" w:eastAsia="Arial" w:hAnsi="Arial" w:cs="Arial"/>
          <w:b/>
          <w:i/>
          <w:sz w:val="20"/>
          <w:szCs w:val="20"/>
        </w:rPr>
        <w:t>assemblée délibérante</w:t>
      </w:r>
      <w:r>
        <w:rPr>
          <w:rFonts w:ascii="Arial" w:eastAsia="Arial" w:hAnsi="Arial" w:cs="Arial"/>
          <w:sz w:val="20"/>
          <w:szCs w:val="20"/>
        </w:rPr>
        <w:t xml:space="preserve">), à l'unanimité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la majorité :</w:t>
      </w:r>
    </w:p>
    <w:p w14:paraId="0000002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5" w:name="_heading=h.tyjcwt" w:colFirst="0" w:colLast="0"/>
      <w:bookmarkEnd w:id="5"/>
    </w:p>
    <w:p w14:paraId="00000026" w14:textId="77777777" w:rsidR="00AF464B" w:rsidRDefault="008A01F2">
      <w:pPr>
        <w:numPr>
          <w:ilvl w:val="0"/>
          <w:numId w:val="6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sz w:val="20"/>
          <w:szCs w:val="20"/>
        </w:rPr>
        <w:t>Décide de créer un emploi permanent au grade de (</w:t>
      </w:r>
      <w:r>
        <w:rPr>
          <w:rFonts w:ascii="Arial" w:eastAsia="Arial" w:hAnsi="Arial" w:cs="Arial"/>
          <w:b/>
          <w:i/>
          <w:sz w:val="20"/>
          <w:szCs w:val="20"/>
        </w:rPr>
        <w:t>grade</w:t>
      </w:r>
      <w:r>
        <w:rPr>
          <w:rFonts w:ascii="Arial" w:eastAsia="Arial" w:hAnsi="Arial" w:cs="Arial"/>
          <w:sz w:val="20"/>
          <w:szCs w:val="20"/>
        </w:rPr>
        <w:t xml:space="preserve">) à temps complet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temps non complet à hauteur de … heures … minutes hebdomadaires (soit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….</w:t>
      </w:r>
      <w:proofErr w:type="gramEnd"/>
      <w:r>
        <w:rPr>
          <w:rFonts w:ascii="Arial" w:eastAsia="Arial" w:hAnsi="Arial" w:cs="Arial"/>
          <w:sz w:val="20"/>
          <w:szCs w:val="20"/>
        </w:rPr>
        <w:t>/35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éme </w:t>
      </w:r>
      <w:r>
        <w:rPr>
          <w:rFonts w:ascii="Arial" w:eastAsia="Arial" w:hAnsi="Arial" w:cs="Arial"/>
          <w:sz w:val="20"/>
          <w:szCs w:val="20"/>
        </w:rPr>
        <w:t>d'un temps plein) afin d'assurer les fonctions suivantes : (</w:t>
      </w:r>
      <w:r>
        <w:rPr>
          <w:rFonts w:ascii="Arial" w:eastAsia="Arial" w:hAnsi="Arial" w:cs="Arial"/>
          <w:b/>
          <w:i/>
          <w:sz w:val="20"/>
          <w:szCs w:val="20"/>
        </w:rPr>
        <w:t>à préciser</w:t>
      </w:r>
      <w:r>
        <w:rPr>
          <w:rFonts w:ascii="Arial" w:eastAsia="Arial" w:hAnsi="Arial" w:cs="Arial"/>
          <w:sz w:val="20"/>
          <w:szCs w:val="20"/>
        </w:rPr>
        <w:t>), relevant de la catégorie hiérarchique … (</w:t>
      </w:r>
      <w:r>
        <w:rPr>
          <w:rFonts w:ascii="Arial" w:eastAsia="Arial" w:hAnsi="Arial" w:cs="Arial"/>
          <w:b/>
          <w:i/>
          <w:sz w:val="20"/>
          <w:szCs w:val="20"/>
        </w:rPr>
        <w:t>A, B, C</w:t>
      </w:r>
      <w:r>
        <w:rPr>
          <w:rFonts w:ascii="Arial" w:eastAsia="Arial" w:hAnsi="Arial" w:cs="Arial"/>
          <w:sz w:val="20"/>
          <w:szCs w:val="20"/>
        </w:rPr>
        <w:t>) et étant précisé que les conditions de qualification sont définies réglementairement et correspondent au grade statutaire retenu,</w:t>
      </w:r>
    </w:p>
    <w:p w14:paraId="00000027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8" w14:textId="15260100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réserve la possibilité de recruter un agent contractuel en vertu de l'article L332-8 3° du code la fonction publique susvisé,</w:t>
      </w:r>
    </w:p>
    <w:p w14:paraId="00000029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7" w:name="_heading=h.1t3h5sf" w:colFirst="0" w:colLast="0"/>
      <w:bookmarkEnd w:id="7"/>
    </w:p>
    <w:p w14:paraId="0000002A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 de recrutement d'un agent contractuel :</w:t>
      </w:r>
    </w:p>
    <w:p w14:paraId="0000002B" w14:textId="77777777" w:rsidR="00AF464B" w:rsidRDefault="00AF4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2C" w14:textId="77777777" w:rsidR="00AF464B" w:rsidRDefault="008A01F2">
      <w:pPr>
        <w:numPr>
          <w:ilvl w:val="0"/>
          <w:numId w:val="4"/>
        </w:num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Précise que l’emploi permanent devant être créé est justifié par le fait que la Commune compte moins de 1 000 habitants,</w:t>
      </w:r>
    </w:p>
    <w:p w14:paraId="0000002D" w14:textId="77777777" w:rsidR="00AF464B" w:rsidRDefault="00AF464B">
      <w:p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E" w14:textId="77777777" w:rsidR="00AF464B" w:rsidRDefault="008A01F2">
      <w:p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OU</w:t>
      </w:r>
      <w:proofErr w:type="gramEnd"/>
    </w:p>
    <w:p w14:paraId="0000002F" w14:textId="77777777" w:rsidR="00AF464B" w:rsidRDefault="00AF464B">
      <w:p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0" w14:textId="77777777" w:rsidR="00AF464B" w:rsidRDefault="008A01F2">
      <w:pPr>
        <w:numPr>
          <w:ilvl w:val="0"/>
          <w:numId w:val="4"/>
        </w:num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Précise que l’emploi permanent devant être créé est justifié par le fait que l’établissement public est un groupement de communes de moins de 15 000 habitants,</w:t>
      </w:r>
    </w:p>
    <w:p w14:paraId="00000031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2" w14:textId="77777777" w:rsidR="00AF464B" w:rsidRDefault="008A01F2">
      <w:pPr>
        <w:numPr>
          <w:ilvl w:val="0"/>
          <w:numId w:val="4"/>
        </w:num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Précise que le niveau de recrutement sera déterminé sur la base des critères suivants : (</w:t>
      </w:r>
      <w:r>
        <w:rPr>
          <w:rFonts w:ascii="Arial" w:eastAsia="Arial" w:hAnsi="Arial" w:cs="Arial"/>
          <w:b/>
          <w:i/>
          <w:sz w:val="20"/>
          <w:szCs w:val="20"/>
        </w:rPr>
        <w:t>mentionner les conditions particulières exigées des candidats tels que le niveau scolaire, la possession d’un diplôme, les compétences professionnelles à détenir, le niveau d’expérience professionnelle</w:t>
      </w:r>
      <w:r>
        <w:rPr>
          <w:rFonts w:ascii="Arial" w:eastAsia="Arial" w:hAnsi="Arial" w:cs="Arial"/>
          <w:sz w:val="20"/>
          <w:szCs w:val="20"/>
        </w:rPr>
        <w:t>),</w:t>
      </w:r>
    </w:p>
    <w:p w14:paraId="00000033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4" w14:textId="77777777" w:rsidR="00AF464B" w:rsidRDefault="008A01F2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Fixe la rémunération, en référence au grade de recrutement et compte-tenu des fonctions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occupées, de la qualification requise pour leur exercice, de la qualification détenue par l'agent ainsi que son expérience, entre</w:t>
      </w:r>
      <w:r>
        <w:rPr>
          <w:rFonts w:ascii="Arial" w:eastAsia="Arial" w:hAnsi="Arial" w:cs="Arial"/>
          <w:sz w:val="20"/>
          <w:szCs w:val="20"/>
        </w:rPr>
        <w:t xml:space="preserve"> l’indice brut minimum (</w:t>
      </w:r>
      <w:r>
        <w:rPr>
          <w:rFonts w:ascii="Arial" w:eastAsia="Arial" w:hAnsi="Arial" w:cs="Arial"/>
          <w:b/>
          <w:i/>
          <w:sz w:val="20"/>
          <w:szCs w:val="20"/>
        </w:rPr>
        <w:t>indiquer un indice brut minimum</w:t>
      </w:r>
      <w:r>
        <w:rPr>
          <w:rFonts w:ascii="Arial" w:eastAsia="Arial" w:hAnsi="Arial" w:cs="Arial"/>
          <w:sz w:val="20"/>
          <w:szCs w:val="20"/>
        </w:rPr>
        <w:t>) / indice majoré minimum (</w:t>
      </w:r>
      <w:r>
        <w:rPr>
          <w:rFonts w:ascii="Arial" w:eastAsia="Arial" w:hAnsi="Arial" w:cs="Arial"/>
          <w:b/>
          <w:i/>
          <w:sz w:val="20"/>
          <w:szCs w:val="20"/>
        </w:rPr>
        <w:t>indiquer un indice majoré minimum</w:t>
      </w:r>
      <w:r>
        <w:rPr>
          <w:rFonts w:ascii="Arial" w:eastAsia="Arial" w:hAnsi="Arial" w:cs="Arial"/>
          <w:sz w:val="20"/>
          <w:szCs w:val="20"/>
        </w:rPr>
        <w:t>) et l’indice brut maximum (</w:t>
      </w:r>
      <w:r>
        <w:rPr>
          <w:rFonts w:ascii="Arial" w:eastAsia="Arial" w:hAnsi="Arial" w:cs="Arial"/>
          <w:b/>
          <w:i/>
          <w:sz w:val="20"/>
          <w:szCs w:val="20"/>
        </w:rPr>
        <w:t>indiquer un indice brut maximum</w:t>
      </w:r>
      <w:r>
        <w:rPr>
          <w:rFonts w:ascii="Arial" w:eastAsia="Arial" w:hAnsi="Arial" w:cs="Arial"/>
          <w:sz w:val="20"/>
          <w:szCs w:val="20"/>
        </w:rPr>
        <w:t>) / indice majoré maximum (</w:t>
      </w:r>
      <w:r>
        <w:rPr>
          <w:rFonts w:ascii="Arial" w:eastAsia="Arial" w:hAnsi="Arial" w:cs="Arial"/>
          <w:b/>
          <w:i/>
          <w:sz w:val="20"/>
          <w:szCs w:val="20"/>
        </w:rPr>
        <w:t>indiquer un indice majoré maximum</w:t>
      </w:r>
      <w:r>
        <w:rPr>
          <w:rFonts w:ascii="Arial" w:eastAsia="Arial" w:hAnsi="Arial" w:cs="Arial"/>
          <w:sz w:val="20"/>
          <w:szCs w:val="20"/>
        </w:rPr>
        <w:t>),</w:t>
      </w:r>
    </w:p>
    <w:p w14:paraId="0000003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6" w14:textId="77777777" w:rsidR="00AF464B" w:rsidRDefault="008A01F2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Précise que 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00000037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8" w:name="_heading=h.4d34og8" w:colFirst="0" w:colLast="0"/>
      <w:bookmarkEnd w:id="8"/>
    </w:p>
    <w:p w14:paraId="00000038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Précise que les crédits nécessaires sont inscrits au budget,</w:t>
      </w:r>
    </w:p>
    <w:p w14:paraId="00000039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A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OU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3B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C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S’engage à inscrire les crédits nécessaires au budget,</w:t>
      </w:r>
    </w:p>
    <w:p w14:paraId="0000003D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9" w:name="_heading=h.2s8eyo1" w:colFirst="0" w:colLast="0"/>
      <w:bookmarkEnd w:id="9"/>
    </w:p>
    <w:p w14:paraId="0000003E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Autorise 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i/>
          <w:sz w:val="20"/>
          <w:szCs w:val="20"/>
        </w:rPr>
        <w:t>autorité territoriale</w:t>
      </w:r>
      <w:r>
        <w:rPr>
          <w:rFonts w:ascii="Arial" w:eastAsia="Arial" w:hAnsi="Arial" w:cs="Arial"/>
          <w:sz w:val="20"/>
          <w:szCs w:val="20"/>
        </w:rPr>
        <w:t>) ou son délégué à signer tout document relatif à ce dossier.</w:t>
      </w:r>
    </w:p>
    <w:p w14:paraId="0000003F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0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  <w:bookmarkStart w:id="10" w:name="_heading=h.17dp8vu" w:colFirst="0" w:colLast="0"/>
      <w:bookmarkEnd w:id="10"/>
    </w:p>
    <w:p w14:paraId="00000041" w14:textId="77777777" w:rsidR="00AF464B" w:rsidRDefault="008A01F2">
      <w:pPr>
        <w:ind w:left="0" w:hanging="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Fait 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i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>), à (</w:t>
      </w:r>
      <w:r>
        <w:rPr>
          <w:rFonts w:ascii="Arial" w:eastAsia="Arial" w:hAnsi="Arial" w:cs="Arial"/>
          <w:b/>
          <w:i/>
          <w:sz w:val="20"/>
          <w:szCs w:val="20"/>
        </w:rPr>
        <w:t>LIEU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42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3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4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5" w14:textId="77777777" w:rsidR="00AF464B" w:rsidRDefault="008A01F2">
      <w:pPr>
        <w:tabs>
          <w:tab w:val="left" w:pos="4678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b/>
          <w:i/>
          <w:sz w:val="20"/>
          <w:szCs w:val="20"/>
        </w:rPr>
        <w:t>AUTORITE TERRITORIALE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46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7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8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Le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b/>
          <w:i/>
          <w:sz w:val="16"/>
          <w:szCs w:val="16"/>
        </w:rPr>
        <w:t>AUTORITE TERRITORIALE</w:t>
      </w:r>
      <w:r>
        <w:rPr>
          <w:rFonts w:ascii="Arial" w:eastAsia="Arial" w:hAnsi="Arial" w:cs="Arial"/>
          <w:sz w:val="16"/>
          <w:szCs w:val="16"/>
        </w:rPr>
        <w:t>) :</w:t>
      </w:r>
    </w:p>
    <w:p w14:paraId="00000049" w14:textId="77777777" w:rsidR="00AF464B" w:rsidRDefault="008A01F2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certifie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sous sa responsabilité le caractère exécutoire de cet acte qui sera affiché ce jour au siège de la collectivité ;</w:t>
      </w:r>
    </w:p>
    <w:p w14:paraId="0000004A" w14:textId="77777777" w:rsidR="00AF464B" w:rsidRDefault="008A01F2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16"/>
          <w:szCs w:val="16"/>
        </w:rPr>
        <w:t>informe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que la présente délibération peut faire l’objet d’un recours pour excès de pouvoir devant le tribunal administratif de Besançon – 30 rue Charles Nodier, dans un délai de deux mois à compter de sa publication et de sa réception par le représentant de l’état.</w:t>
      </w:r>
    </w:p>
    <w:p w14:paraId="0000004B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4C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AF464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4EB"/>
    <w:multiLevelType w:val="multilevel"/>
    <w:tmpl w:val="77FC884E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FB0277"/>
    <w:multiLevelType w:val="multilevel"/>
    <w:tmpl w:val="726C26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F558DE"/>
    <w:multiLevelType w:val="multilevel"/>
    <w:tmpl w:val="22A46A0E"/>
    <w:lvl w:ilvl="0">
      <w:start w:val="27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87A5386"/>
    <w:multiLevelType w:val="multilevel"/>
    <w:tmpl w:val="0D02462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AEF7ADF"/>
    <w:multiLevelType w:val="multilevel"/>
    <w:tmpl w:val="01B039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FF62FB7"/>
    <w:multiLevelType w:val="multilevel"/>
    <w:tmpl w:val="624A27D2"/>
    <w:lvl w:ilvl="0">
      <w:numFmt w:val="bullet"/>
      <w:lvlText w:val="è"/>
      <w:lvlJc w:val="left"/>
      <w:pPr>
        <w:ind w:left="720" w:hanging="360"/>
      </w:pPr>
      <w:rPr>
        <w:rFonts w:ascii="Wingdings" w:hAnsi="Wingdings" w:cs="Aria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5B3F11"/>
    <w:multiLevelType w:val="multilevel"/>
    <w:tmpl w:val="640ED2BC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4B"/>
    <w:rsid w:val="00145EAC"/>
    <w:rsid w:val="008A01F2"/>
    <w:rsid w:val="009C7223"/>
    <w:rsid w:val="00AF464B"/>
    <w:rsid w:val="00F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8D85"/>
  <w15:docId w15:val="{77F94B92-F401-4D3C-B2AF-2CE980AF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08"/>
    </w:pPr>
  </w:style>
  <w:style w:type="paragraph" w:customStyle="1" w:styleId="intituldelarrt">
    <w:name w:val="intitulé de l'arrêté"/>
    <w:basedOn w:val="Normal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uP7hCnQzLtcnjZjM0dd6olK4w==">AMUW2mV/Axh0rr4glqyIasncWLC/d2a+Q1SDVhCFpDjAXVaZte0VE6MM1g0kYk6exraf7MFUipnH2xH9GLZHF4iE2LVKp3oqoSRujgYSAMqfLzNnQif19+rSVNrcCP79+ARKDySmKfHdYXZC8Jl1/Qndps2kR3rE56IaAZJtvnCedoDgSRBjamZrS1lJ0aFqYN9KZiOXwkv2ZNlNKJ6C6blawxDFfDdfDbve2klLIVn2ZfTlhgJd93P0sia8Z3RO4iOtTBvD+UwDpZ5VuWmUR+O25D0Zq1Xy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AHSSEA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Roussel</dc:creator>
  <cp:lastModifiedBy>Ricardo SALAS RIVERA</cp:lastModifiedBy>
  <cp:revision>5</cp:revision>
  <dcterms:created xsi:type="dcterms:W3CDTF">2022-02-11T08:24:00Z</dcterms:created>
  <dcterms:modified xsi:type="dcterms:W3CDTF">2022-02-23T09:11:00Z</dcterms:modified>
</cp:coreProperties>
</file>